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123" w:rsidRPr="00DD6123" w:rsidRDefault="00DD6123" w:rsidP="00DD6123">
      <w:pPr>
        <w:spacing w:after="0" w:line="240" w:lineRule="auto"/>
        <w:jc w:val="both"/>
        <w:rPr>
          <w:rFonts w:ascii="Arial" w:eastAsia="Times New Roman" w:hAnsi="Arial" w:cs="David"/>
          <w:color w:val="000000"/>
          <w:sz w:val="28"/>
          <w:szCs w:val="28"/>
        </w:rPr>
      </w:pPr>
      <w:r w:rsidRPr="00DD6123">
        <w:rPr>
          <w:rFonts w:ascii="Arial" w:eastAsia="Times New Roman" w:hAnsi="Arial" w:cs="David" w:hint="cs"/>
          <w:color w:val="000000"/>
          <w:sz w:val="28"/>
          <w:szCs w:val="28"/>
          <w:rtl/>
        </w:rPr>
        <w:t>שלום לכולם,</w:t>
      </w:r>
    </w:p>
    <w:p w:rsidR="00DD6123" w:rsidRPr="00DD6123" w:rsidRDefault="00DD6123" w:rsidP="00DD6123">
      <w:pPr>
        <w:spacing w:after="0" w:line="240" w:lineRule="auto"/>
        <w:jc w:val="both"/>
        <w:rPr>
          <w:rFonts w:ascii="Arial" w:eastAsia="Times New Roman" w:hAnsi="Arial" w:cs="David" w:hint="cs"/>
          <w:color w:val="000000"/>
          <w:sz w:val="28"/>
          <w:szCs w:val="28"/>
          <w:rtl/>
        </w:rPr>
      </w:pPr>
    </w:p>
    <w:p w:rsidR="00DD6123" w:rsidRPr="00DD6123" w:rsidRDefault="00DD6123" w:rsidP="00DD6123">
      <w:pPr>
        <w:spacing w:after="0" w:line="240" w:lineRule="auto"/>
        <w:jc w:val="both"/>
        <w:rPr>
          <w:rFonts w:ascii="Times New Roman" w:eastAsia="Times New Roman" w:hAnsi="Times New Roman" w:cs="David" w:hint="cs"/>
          <w:color w:val="000000"/>
          <w:sz w:val="28"/>
          <w:szCs w:val="28"/>
          <w:rtl/>
        </w:rPr>
      </w:pPr>
      <w:r w:rsidRPr="00DD6123">
        <w:rPr>
          <w:rFonts w:ascii="Arial" w:eastAsia="Times New Roman" w:hAnsi="Arial" w:cs="David" w:hint="cs"/>
          <w:color w:val="000000"/>
          <w:sz w:val="28"/>
          <w:szCs w:val="28"/>
          <w:rtl/>
        </w:rPr>
        <w:t>על דעת פרקליט המדינה אני מבקשת לפנות אליכם במתכונת זו של שיגור מייל כללי. </w:t>
      </w:r>
    </w:p>
    <w:p w:rsidR="00DD6123" w:rsidRPr="00DD6123" w:rsidRDefault="00DD6123" w:rsidP="00DD6123">
      <w:pPr>
        <w:spacing w:after="0" w:line="240" w:lineRule="auto"/>
        <w:jc w:val="both"/>
        <w:rPr>
          <w:rFonts w:ascii="Arial" w:eastAsia="Times New Roman" w:hAnsi="Arial" w:cs="David"/>
          <w:color w:val="000000"/>
          <w:sz w:val="28"/>
          <w:szCs w:val="28"/>
        </w:rPr>
      </w:pPr>
      <w:r w:rsidRPr="00DD6123">
        <w:rPr>
          <w:rFonts w:ascii="Arial" w:eastAsia="Times New Roman" w:hAnsi="Arial" w:cs="David" w:hint="cs"/>
          <w:color w:val="000000"/>
          <w:sz w:val="28"/>
          <w:szCs w:val="28"/>
          <w:rtl/>
        </w:rPr>
        <w:t> </w:t>
      </w:r>
    </w:p>
    <w:p w:rsidR="00DD6123" w:rsidRPr="00DD6123" w:rsidRDefault="00DD6123" w:rsidP="00DD6123">
      <w:pPr>
        <w:spacing w:after="0" w:line="240" w:lineRule="auto"/>
        <w:jc w:val="both"/>
        <w:rPr>
          <w:rFonts w:ascii="Arial" w:eastAsia="Times New Roman" w:hAnsi="Arial" w:cs="David" w:hint="cs"/>
          <w:color w:val="000000"/>
          <w:sz w:val="28"/>
          <w:szCs w:val="28"/>
          <w:rtl/>
        </w:rPr>
      </w:pPr>
      <w:r w:rsidRPr="00DD6123">
        <w:rPr>
          <w:rFonts w:ascii="Arial" w:eastAsia="Times New Roman" w:hAnsi="Arial" w:cs="David" w:hint="cs"/>
          <w:color w:val="000000"/>
          <w:sz w:val="28"/>
          <w:szCs w:val="28"/>
          <w:rtl/>
        </w:rPr>
        <w:t>צר לי שיו"ר הארגון</w:t>
      </w:r>
      <w:r w:rsidRPr="00DD6123">
        <w:rPr>
          <w:rFonts w:ascii="Arial" w:eastAsia="Times New Roman" w:hAnsi="Arial" w:cs="David" w:hint="cs"/>
          <w:color w:val="000000"/>
          <w:sz w:val="27"/>
          <w:szCs w:val="27"/>
          <w:rtl/>
        </w:rPr>
        <w:t xml:space="preserve"> בחר </w:t>
      </w:r>
      <w:r w:rsidRPr="00DD6123">
        <w:rPr>
          <w:rFonts w:ascii="Arial" w:eastAsia="Times New Roman" w:hAnsi="Arial" w:cs="Arial" w:hint="cs"/>
          <w:color w:val="0000FF"/>
          <w:sz w:val="20"/>
          <w:szCs w:val="20"/>
          <w:rtl/>
        </w:rPr>
        <w:t> </w:t>
      </w:r>
      <w:r w:rsidRPr="00DD6123">
        <w:rPr>
          <w:rFonts w:ascii="Arial" w:eastAsia="Times New Roman" w:hAnsi="Arial" w:cs="David" w:hint="cs"/>
          <w:color w:val="000000"/>
          <w:sz w:val="28"/>
          <w:szCs w:val="28"/>
          <w:rtl/>
        </w:rPr>
        <w:t xml:space="preserve">להציף אליכם את טענותיו, מבלי לעדכנכם במסמכים שנמצאו בידיו, והחליט שלא לציידכם במכתבי, שאליו צורף גם סיכום מקיף של הדיון שהתקיים אצל פרקליט המדינה, בנושא האסטרטגיה של הפרקליטות האזרחית ויישומה ואת המתווה המוצע בו. </w:t>
      </w:r>
    </w:p>
    <w:p w:rsidR="00DD6123" w:rsidRPr="00DD6123" w:rsidRDefault="00DD6123" w:rsidP="00DD6123">
      <w:pPr>
        <w:spacing w:after="0" w:line="240" w:lineRule="auto"/>
        <w:jc w:val="both"/>
        <w:rPr>
          <w:rFonts w:ascii="Arial" w:eastAsia="Times New Roman" w:hAnsi="Arial" w:cs="David" w:hint="cs"/>
          <w:color w:val="000000"/>
          <w:sz w:val="28"/>
          <w:szCs w:val="28"/>
          <w:rtl/>
        </w:rPr>
      </w:pPr>
    </w:p>
    <w:p w:rsidR="00DD6123" w:rsidRPr="00DD6123" w:rsidRDefault="00DD6123" w:rsidP="00DD6123">
      <w:pPr>
        <w:spacing w:after="0" w:line="240" w:lineRule="auto"/>
        <w:jc w:val="both"/>
        <w:rPr>
          <w:rFonts w:ascii="Times New Roman" w:eastAsia="Times New Roman" w:hAnsi="Times New Roman" w:cs="David" w:hint="cs"/>
          <w:color w:val="000000"/>
          <w:sz w:val="28"/>
          <w:szCs w:val="28"/>
          <w:rtl/>
        </w:rPr>
      </w:pPr>
      <w:r w:rsidRPr="00DD6123">
        <w:rPr>
          <w:rFonts w:ascii="Arial" w:eastAsia="Times New Roman" w:hAnsi="Arial" w:cs="David" w:hint="cs"/>
          <w:b/>
          <w:bCs/>
          <w:color w:val="000000"/>
          <w:szCs w:val="28"/>
          <w:rtl/>
        </w:rPr>
        <w:t>לפיכך מצורף בזה לעיונכם סיכום הדיון ומכתבי ליו"ר  הארגון, המדברים</w:t>
      </w:r>
      <w:r w:rsidRPr="00DD6123">
        <w:rPr>
          <w:rFonts w:ascii="Arial" w:eastAsia="Times New Roman" w:hAnsi="Arial" w:cs="David" w:hint="cs"/>
          <w:color w:val="000000"/>
          <w:sz w:val="28"/>
          <w:szCs w:val="28"/>
          <w:rtl/>
        </w:rPr>
        <w:t> </w:t>
      </w:r>
      <w:r w:rsidRPr="00DD6123">
        <w:rPr>
          <w:rFonts w:ascii="Arial" w:eastAsia="Times New Roman" w:hAnsi="Arial" w:cs="David" w:hint="cs"/>
          <w:b/>
          <w:bCs/>
          <w:color w:val="000000"/>
          <w:szCs w:val="28"/>
          <w:rtl/>
        </w:rPr>
        <w:t xml:space="preserve">בעד עצמם </w:t>
      </w:r>
      <w:r w:rsidRPr="00DD6123">
        <w:rPr>
          <w:rFonts w:ascii="Arial" w:eastAsia="Times New Roman" w:hAnsi="Arial" w:cs="David" w:hint="cs"/>
          <w:color w:val="000000"/>
          <w:sz w:val="28"/>
          <w:szCs w:val="28"/>
          <w:rtl/>
        </w:rPr>
        <w:t>(אפילו אם גם הם, עדיין, באופן לאקוני). למותר להעיר שלא היה קושי לצרפם כפי שהתבקש.</w:t>
      </w:r>
    </w:p>
    <w:p w:rsidR="00DD6123" w:rsidRPr="00DD6123" w:rsidRDefault="00DD6123" w:rsidP="00DD6123">
      <w:pPr>
        <w:spacing w:after="0" w:line="240" w:lineRule="auto"/>
        <w:jc w:val="both"/>
        <w:rPr>
          <w:rFonts w:ascii="Arial" w:eastAsia="Times New Roman" w:hAnsi="Arial" w:cs="David" w:hint="cs"/>
          <w:color w:val="000000"/>
          <w:sz w:val="28"/>
          <w:szCs w:val="28"/>
          <w:rtl/>
        </w:rPr>
      </w:pPr>
      <w:r w:rsidRPr="00DD6123">
        <w:rPr>
          <w:rFonts w:ascii="Times New Roman" w:eastAsia="Times New Roman" w:hAnsi="Times New Roman" w:cs="David" w:hint="cs"/>
          <w:color w:val="000000"/>
          <w:sz w:val="28"/>
          <w:szCs w:val="28"/>
          <w:rtl/>
        </w:rPr>
        <w:t> </w:t>
      </w:r>
    </w:p>
    <w:p w:rsidR="00DD6123" w:rsidRPr="00DD6123" w:rsidRDefault="00DD6123" w:rsidP="00DD6123">
      <w:pPr>
        <w:spacing w:after="0" w:line="240" w:lineRule="auto"/>
        <w:jc w:val="both"/>
        <w:rPr>
          <w:rFonts w:ascii="Times New Roman" w:eastAsia="Times New Roman" w:hAnsi="Times New Roman" w:cs="David" w:hint="cs"/>
          <w:color w:val="000000"/>
          <w:sz w:val="28"/>
          <w:szCs w:val="28"/>
          <w:rtl/>
        </w:rPr>
      </w:pPr>
      <w:r w:rsidRPr="00DD6123">
        <w:rPr>
          <w:rFonts w:ascii="Arial" w:eastAsia="Times New Roman" w:hAnsi="Arial" w:cs="David" w:hint="cs"/>
          <w:b/>
          <w:bCs/>
          <w:color w:val="000000"/>
          <w:szCs w:val="28"/>
          <w:rtl/>
        </w:rPr>
        <w:t>כעולה מהמכתב, הארגון מוזמן להשמיע את עמדתו לפני שיתקבלו החלטות סופיות.</w:t>
      </w:r>
      <w:r w:rsidRPr="00DD6123">
        <w:rPr>
          <w:rFonts w:ascii="Arial" w:eastAsia="Times New Roman" w:hAnsi="Arial" w:cs="David" w:hint="cs"/>
          <w:color w:val="000000"/>
          <w:sz w:val="28"/>
          <w:szCs w:val="28"/>
          <w:rtl/>
        </w:rPr>
        <w:t>  </w:t>
      </w:r>
    </w:p>
    <w:p w:rsidR="00DD6123" w:rsidRPr="00DD6123" w:rsidRDefault="00DD6123" w:rsidP="00DD6123">
      <w:pPr>
        <w:spacing w:after="0" w:line="240" w:lineRule="auto"/>
        <w:jc w:val="both"/>
        <w:rPr>
          <w:rFonts w:ascii="Arial" w:eastAsia="Times New Roman" w:hAnsi="Arial" w:cs="David" w:hint="cs"/>
          <w:color w:val="000000"/>
          <w:sz w:val="28"/>
          <w:szCs w:val="28"/>
          <w:rtl/>
        </w:rPr>
      </w:pPr>
      <w:r w:rsidRPr="00DD6123">
        <w:rPr>
          <w:rFonts w:ascii="Arial" w:eastAsia="Times New Roman" w:hAnsi="Arial" w:cs="David" w:hint="cs"/>
          <w:color w:val="000000"/>
          <w:sz w:val="28"/>
          <w:szCs w:val="28"/>
          <w:rtl/>
        </w:rPr>
        <w:t> </w:t>
      </w:r>
    </w:p>
    <w:p w:rsidR="00DD6123" w:rsidRPr="00DD6123" w:rsidRDefault="00DD6123" w:rsidP="00DD6123">
      <w:pPr>
        <w:spacing w:after="0" w:line="240" w:lineRule="auto"/>
        <w:jc w:val="both"/>
        <w:rPr>
          <w:rFonts w:ascii="Arial" w:eastAsia="Times New Roman" w:hAnsi="Arial" w:cs="David" w:hint="cs"/>
          <w:color w:val="000000"/>
          <w:sz w:val="28"/>
          <w:szCs w:val="28"/>
          <w:rtl/>
        </w:rPr>
      </w:pPr>
      <w:r w:rsidRPr="00DD6123">
        <w:rPr>
          <w:rFonts w:ascii="Arial" w:eastAsia="Times New Roman" w:hAnsi="Arial" w:cs="David" w:hint="cs"/>
          <w:color w:val="000000"/>
          <w:sz w:val="28"/>
          <w:szCs w:val="28"/>
          <w:rtl/>
        </w:rPr>
        <w:t xml:space="preserve">כידוע לכם, ובוודאי לפרקליטים בפרקליטויות האזרחיות, בשנים האחרונות נמצאת הפרקליטות האזרחית בעיצומו של מהלך אסטרטגי קריטי למיצובה וחיזוקה של הפרקליטות האזרחית כגורם בעל משמעות אפקטיבית באכיפת החוק והגנה על נכסי המדינה. </w:t>
      </w:r>
    </w:p>
    <w:p w:rsidR="00DD6123" w:rsidRPr="00DD6123" w:rsidRDefault="00DD6123" w:rsidP="00DD6123">
      <w:pPr>
        <w:spacing w:after="0" w:line="240" w:lineRule="auto"/>
        <w:jc w:val="both"/>
        <w:rPr>
          <w:rFonts w:ascii="Times New Roman" w:eastAsia="Times New Roman" w:hAnsi="Times New Roman" w:cs="David" w:hint="cs"/>
          <w:color w:val="000000"/>
          <w:sz w:val="28"/>
          <w:szCs w:val="28"/>
          <w:rtl/>
        </w:rPr>
      </w:pPr>
      <w:r w:rsidRPr="00DD6123">
        <w:rPr>
          <w:rFonts w:ascii="Arial" w:eastAsia="Times New Roman" w:hAnsi="Arial" w:cs="David" w:hint="cs"/>
          <w:color w:val="000000"/>
          <w:sz w:val="28"/>
          <w:szCs w:val="28"/>
          <w:rtl/>
        </w:rPr>
        <w:t> </w:t>
      </w:r>
    </w:p>
    <w:p w:rsidR="00DD6123" w:rsidRPr="00DD6123" w:rsidRDefault="00DD6123" w:rsidP="00DD6123">
      <w:pPr>
        <w:spacing w:after="0" w:line="240" w:lineRule="auto"/>
        <w:jc w:val="both"/>
        <w:rPr>
          <w:rFonts w:ascii="Arial" w:eastAsia="Times New Roman" w:hAnsi="Arial" w:cs="David"/>
          <w:color w:val="000000"/>
          <w:sz w:val="28"/>
          <w:szCs w:val="28"/>
        </w:rPr>
      </w:pPr>
      <w:r w:rsidRPr="00DD6123">
        <w:rPr>
          <w:rFonts w:ascii="Arial" w:eastAsia="Times New Roman" w:hAnsi="Arial" w:cs="David" w:hint="cs"/>
          <w:color w:val="000000"/>
          <w:sz w:val="28"/>
          <w:szCs w:val="28"/>
          <w:rtl/>
        </w:rPr>
        <w:t>מהלכים אלה מיושמים כבר באופן מרשים בחלק מהיחידות, ומיקומה של הפרקליטות האזרחית ושל הכלים האזרחיים ככלי אכיפה והגנה בעלי משמעות עלו מדרגה.</w:t>
      </w:r>
    </w:p>
    <w:p w:rsidR="00DD6123" w:rsidRPr="00DD6123" w:rsidRDefault="00DD6123" w:rsidP="00DD6123">
      <w:pPr>
        <w:spacing w:after="0" w:line="240" w:lineRule="auto"/>
        <w:jc w:val="both"/>
        <w:rPr>
          <w:rFonts w:ascii="Arial" w:eastAsia="Times New Roman" w:hAnsi="Arial" w:cs="David" w:hint="cs"/>
          <w:color w:val="000000"/>
          <w:sz w:val="28"/>
          <w:szCs w:val="28"/>
          <w:rtl/>
        </w:rPr>
      </w:pPr>
    </w:p>
    <w:p w:rsidR="00DD6123" w:rsidRPr="00DD6123" w:rsidRDefault="00DD6123" w:rsidP="00DD6123">
      <w:pPr>
        <w:spacing w:after="0" w:line="240" w:lineRule="auto"/>
        <w:jc w:val="both"/>
        <w:rPr>
          <w:rFonts w:ascii="Times New Roman" w:eastAsia="Times New Roman" w:hAnsi="Times New Roman" w:cs="David" w:hint="cs"/>
          <w:color w:val="000000"/>
          <w:sz w:val="28"/>
          <w:szCs w:val="28"/>
          <w:rtl/>
        </w:rPr>
      </w:pPr>
      <w:r w:rsidRPr="00DD6123">
        <w:rPr>
          <w:rFonts w:ascii="Arial" w:eastAsia="Times New Roman" w:hAnsi="Arial" w:cs="David" w:hint="cs"/>
          <w:color w:val="000000"/>
          <w:sz w:val="28"/>
          <w:szCs w:val="28"/>
          <w:rtl/>
        </w:rPr>
        <w:t>אולם, בכך אין די. כדי להבטיח שהפרקליטות תטפל בנושאים הגדולים והחשובים  ותקדם את האסטרטגיה האזרחית באופן מערכתי (במקום שדווקא אלה ימצאו דרכם אל מחוץ למערכת שלנו,</w:t>
      </w:r>
      <w:r w:rsidRPr="00DD6123">
        <w:rPr>
          <w:rFonts w:ascii="Arial" w:eastAsia="Times New Roman" w:hAnsi="Arial" w:cs="David" w:hint="cs"/>
          <w:color w:val="000000"/>
          <w:sz w:val="27"/>
          <w:szCs w:val="27"/>
          <w:rtl/>
        </w:rPr>
        <w:t xml:space="preserve"> ובתואנות</w:t>
      </w:r>
      <w:r w:rsidRPr="00DD6123">
        <w:rPr>
          <w:rFonts w:ascii="Arial" w:eastAsia="Times New Roman" w:hAnsi="Arial" w:cs="David" w:hint="cs"/>
          <w:color w:val="000000"/>
          <w:sz w:val="28"/>
          <w:szCs w:val="28"/>
          <w:rtl/>
        </w:rPr>
        <w:t xml:space="preserve"> שונות כלל לא יגיעו אלינו מלכתחילה),  אין מנוס מיצירת סדרי עדיפויות, שאם לא כן, במקום להוביל מהלכים נמצא עצמנו  מולכים וחסרי יכולת לקדם את העניינים הגדולים.  </w:t>
      </w:r>
    </w:p>
    <w:p w:rsidR="00DD6123" w:rsidRPr="00DD6123" w:rsidRDefault="00DD6123" w:rsidP="00DD6123">
      <w:pPr>
        <w:spacing w:after="0" w:line="240" w:lineRule="auto"/>
        <w:jc w:val="both"/>
        <w:rPr>
          <w:rFonts w:ascii="Arial" w:eastAsia="Times New Roman" w:hAnsi="Arial" w:cs="David" w:hint="cs"/>
          <w:color w:val="000000"/>
          <w:sz w:val="28"/>
          <w:szCs w:val="28"/>
          <w:rtl/>
        </w:rPr>
      </w:pPr>
      <w:r w:rsidRPr="00DD6123">
        <w:rPr>
          <w:rFonts w:ascii="Arial" w:eastAsia="Times New Roman" w:hAnsi="Arial" w:cs="David" w:hint="cs"/>
          <w:color w:val="000000"/>
          <w:sz w:val="28"/>
          <w:szCs w:val="28"/>
          <w:rtl/>
        </w:rPr>
        <w:t> </w:t>
      </w:r>
    </w:p>
    <w:p w:rsidR="00DD6123" w:rsidRPr="00DD6123" w:rsidRDefault="00DD6123" w:rsidP="00DD6123">
      <w:pPr>
        <w:spacing w:after="0" w:line="240" w:lineRule="auto"/>
        <w:jc w:val="both"/>
        <w:rPr>
          <w:rFonts w:ascii="Arial" w:eastAsia="Times New Roman" w:hAnsi="Arial" w:cs="David" w:hint="cs"/>
          <w:color w:val="000000"/>
          <w:sz w:val="28"/>
          <w:szCs w:val="28"/>
          <w:rtl/>
        </w:rPr>
      </w:pPr>
      <w:r w:rsidRPr="00DD6123">
        <w:rPr>
          <w:rFonts w:ascii="Arial" w:eastAsia="Times New Roman" w:hAnsi="Arial" w:cs="David" w:hint="cs"/>
          <w:color w:val="000000"/>
          <w:sz w:val="28"/>
          <w:szCs w:val="28"/>
          <w:rtl/>
        </w:rPr>
        <w:t>בימים אלה חשוב מתמיד שניקח את האחריות בידינו לקידום שלטון החוק ביצירת השפעה ממשית על סדר היום הציבורי בתחום זה. מיקוד מאמצים ותעדוף מתחייב בנסיבות אלה.</w:t>
      </w:r>
    </w:p>
    <w:p w:rsidR="00DD6123" w:rsidRPr="00DD6123" w:rsidRDefault="00DD6123" w:rsidP="00DD6123">
      <w:pPr>
        <w:spacing w:after="0" w:line="240" w:lineRule="auto"/>
        <w:jc w:val="both"/>
        <w:rPr>
          <w:rFonts w:ascii="Times New Roman" w:eastAsia="Times New Roman" w:hAnsi="Times New Roman" w:cs="David" w:hint="cs"/>
          <w:color w:val="000000"/>
          <w:sz w:val="28"/>
          <w:szCs w:val="28"/>
          <w:rtl/>
        </w:rPr>
      </w:pPr>
      <w:r w:rsidRPr="00DD6123">
        <w:rPr>
          <w:rFonts w:ascii="Arial" w:eastAsia="Times New Roman" w:hAnsi="Arial" w:cs="David" w:hint="cs"/>
          <w:color w:val="000000"/>
          <w:sz w:val="28"/>
          <w:szCs w:val="28"/>
          <w:rtl/>
        </w:rPr>
        <w:t> </w:t>
      </w:r>
    </w:p>
    <w:p w:rsidR="00DD6123" w:rsidRPr="00DD6123" w:rsidRDefault="00DD6123" w:rsidP="00DD6123">
      <w:pPr>
        <w:spacing w:after="0" w:line="240" w:lineRule="auto"/>
        <w:jc w:val="both"/>
        <w:rPr>
          <w:rFonts w:ascii="Arial" w:eastAsia="Times New Roman" w:hAnsi="Arial" w:cs="David" w:hint="cs"/>
          <w:color w:val="000000"/>
          <w:sz w:val="28"/>
          <w:szCs w:val="28"/>
          <w:rtl/>
        </w:rPr>
      </w:pPr>
      <w:r w:rsidRPr="00DD6123">
        <w:rPr>
          <w:rFonts w:ascii="Arial" w:eastAsia="Times New Roman" w:hAnsi="Arial" w:cs="David" w:hint="cs"/>
          <w:color w:val="000000"/>
          <w:sz w:val="28"/>
          <w:szCs w:val="28"/>
          <w:rtl/>
        </w:rPr>
        <w:t xml:space="preserve">אין מדובר בהפרטה. מדובר על מהלך </w:t>
      </w:r>
      <w:proofErr w:type="spellStart"/>
      <w:r w:rsidRPr="00DD6123">
        <w:rPr>
          <w:rFonts w:ascii="Arial" w:eastAsia="Times New Roman" w:hAnsi="Arial" w:cs="David" w:hint="cs"/>
          <w:b/>
          <w:bCs/>
          <w:color w:val="000000"/>
          <w:sz w:val="28"/>
          <w:szCs w:val="28"/>
          <w:rtl/>
        </w:rPr>
        <w:t>פרקליטותי</w:t>
      </w:r>
      <w:proofErr w:type="spellEnd"/>
      <w:r w:rsidRPr="00DD6123">
        <w:rPr>
          <w:rFonts w:ascii="Arial" w:eastAsia="Times New Roman" w:hAnsi="Arial" w:cs="David" w:hint="cs"/>
          <w:color w:val="000000"/>
          <w:sz w:val="28"/>
          <w:szCs w:val="28"/>
          <w:rtl/>
        </w:rPr>
        <w:t xml:space="preserve"> לטיפול בחלק מהתיקים שאין  בהם ערך מוסף ממשי לטיפול על ידי הפרקליטות עצמה, באמצעות עורכי דין חיצוניים שנבחרו על ידי הפרקליטות, שיהיו מפוקחים על ידי הפרקליטות, כשכתבי הטענות שלהם יאושרו על ידי הפרקליטות וכך גם כל מהלך משמעותי בתיק לרבות אישורי פשרות, החלטה לפנות לגישור וכיוצ"ב.</w:t>
      </w:r>
    </w:p>
    <w:p w:rsidR="00DD6123" w:rsidRPr="00DD6123" w:rsidRDefault="00DD6123" w:rsidP="00DD6123">
      <w:pPr>
        <w:spacing w:after="0" w:line="240" w:lineRule="auto"/>
        <w:jc w:val="both"/>
        <w:rPr>
          <w:rFonts w:ascii="Arial" w:eastAsia="Times New Roman" w:hAnsi="Arial" w:cs="David" w:hint="cs"/>
          <w:color w:val="000000"/>
          <w:sz w:val="28"/>
          <w:szCs w:val="28"/>
          <w:rtl/>
        </w:rPr>
      </w:pPr>
    </w:p>
    <w:p w:rsidR="00DD6123" w:rsidRPr="00DD6123" w:rsidRDefault="00DD6123" w:rsidP="00DD6123">
      <w:pPr>
        <w:spacing w:after="0" w:line="240" w:lineRule="auto"/>
        <w:jc w:val="both"/>
        <w:rPr>
          <w:rFonts w:ascii="Arial" w:eastAsia="Times New Roman" w:hAnsi="Arial" w:cs="David" w:hint="cs"/>
          <w:color w:val="000000"/>
          <w:sz w:val="28"/>
          <w:szCs w:val="28"/>
          <w:rtl/>
        </w:rPr>
      </w:pPr>
      <w:r w:rsidRPr="00DD6123">
        <w:rPr>
          <w:rFonts w:ascii="Arial" w:eastAsia="Times New Roman" w:hAnsi="Arial" w:cs="David" w:hint="cs"/>
          <w:color w:val="000000"/>
          <w:sz w:val="28"/>
          <w:szCs w:val="28"/>
          <w:rtl/>
        </w:rPr>
        <w:t xml:space="preserve">התיקים שמוצע כי יועברו למיקור חוץ אינם, בשום פנים ואופן, "תיקי זבל" כהגדרתו של בעז גולדברג, אלא תיקים שגרתיים שאין בהם מורכבות ציבורית, שלטונית או תקדימית כזו או אחרת. ניתן להסתפק בנוגע להם בפיקוח </w:t>
      </w:r>
      <w:proofErr w:type="spellStart"/>
      <w:r w:rsidRPr="00DD6123">
        <w:rPr>
          <w:rFonts w:ascii="Arial" w:eastAsia="Times New Roman" w:hAnsi="Arial" w:cs="David" w:hint="cs"/>
          <w:color w:val="000000"/>
          <w:sz w:val="28"/>
          <w:szCs w:val="28"/>
          <w:rtl/>
        </w:rPr>
        <w:t>פרקליטותי</w:t>
      </w:r>
      <w:proofErr w:type="spellEnd"/>
      <w:r w:rsidRPr="00DD6123">
        <w:rPr>
          <w:rFonts w:ascii="Arial" w:eastAsia="Times New Roman" w:hAnsi="Arial" w:cs="David" w:hint="cs"/>
          <w:color w:val="000000"/>
          <w:sz w:val="28"/>
          <w:szCs w:val="28"/>
          <w:rtl/>
        </w:rPr>
        <w:t xml:space="preserve"> ואין צורך בטיפול הישיר שלנו (כשבמקביל - ממילא נשמור את הטיפול הישיר אצלנו, כשמדובר יהיה בתיקים "פורצי דרך וקובעי הלכות"). </w:t>
      </w:r>
    </w:p>
    <w:p w:rsidR="00DD6123" w:rsidRPr="00DD6123" w:rsidRDefault="00DD6123" w:rsidP="00DD6123">
      <w:pPr>
        <w:spacing w:after="0" w:line="240" w:lineRule="auto"/>
        <w:jc w:val="both"/>
        <w:rPr>
          <w:rFonts w:ascii="Times New Roman" w:eastAsia="Times New Roman" w:hAnsi="Times New Roman" w:cs="David" w:hint="cs"/>
          <w:color w:val="000000"/>
          <w:sz w:val="28"/>
          <w:szCs w:val="28"/>
          <w:rtl/>
        </w:rPr>
      </w:pPr>
      <w:r w:rsidRPr="00DD6123">
        <w:rPr>
          <w:rFonts w:ascii="Arial" w:eastAsia="Times New Roman" w:hAnsi="Arial" w:cs="David" w:hint="cs"/>
          <w:color w:val="000000"/>
          <w:sz w:val="28"/>
          <w:szCs w:val="28"/>
          <w:rtl/>
        </w:rPr>
        <w:t> </w:t>
      </w:r>
    </w:p>
    <w:p w:rsidR="00DD6123" w:rsidRPr="00DD6123" w:rsidRDefault="00DD6123" w:rsidP="00DD6123">
      <w:pPr>
        <w:spacing w:after="0" w:line="240" w:lineRule="auto"/>
        <w:jc w:val="both"/>
        <w:rPr>
          <w:rFonts w:ascii="Times New Roman" w:eastAsia="Times New Roman" w:hAnsi="Times New Roman" w:cs="David" w:hint="cs"/>
          <w:color w:val="000000"/>
          <w:sz w:val="28"/>
          <w:szCs w:val="28"/>
          <w:rtl/>
        </w:rPr>
      </w:pPr>
      <w:r w:rsidRPr="00DD6123">
        <w:rPr>
          <w:rFonts w:ascii="Arial" w:eastAsia="Times New Roman" w:hAnsi="Arial" w:cs="David" w:hint="cs"/>
          <w:color w:val="000000"/>
          <w:sz w:val="28"/>
          <w:szCs w:val="28"/>
          <w:rtl/>
        </w:rPr>
        <w:lastRenderedPageBreak/>
        <w:t>בדרך זו ניתן יהיה להוסיף ולהכניס לטיפול הפרקליטות עניינים בעלי משמעות שלא מגיעים היום כלל לשולחן הפרקליטות ולחזק את מהלכי האכיפה היזומים ולקדם גם את האכיפה המשולבת שהינה יעד מרכזי של הפרקליטות כולה.</w:t>
      </w:r>
    </w:p>
    <w:p w:rsidR="00DD6123" w:rsidRPr="00DD6123" w:rsidRDefault="00DD6123" w:rsidP="00DD6123">
      <w:pPr>
        <w:spacing w:after="0" w:line="240" w:lineRule="auto"/>
        <w:jc w:val="both"/>
        <w:rPr>
          <w:rFonts w:ascii="Times New Roman" w:eastAsia="Times New Roman" w:hAnsi="Times New Roman" w:cs="David" w:hint="cs"/>
          <w:color w:val="000000"/>
          <w:sz w:val="28"/>
          <w:szCs w:val="28"/>
          <w:rtl/>
        </w:rPr>
      </w:pPr>
      <w:r w:rsidRPr="00DD6123">
        <w:rPr>
          <w:rFonts w:ascii="Times New Roman" w:eastAsia="Times New Roman" w:hAnsi="Times New Roman" w:cs="David" w:hint="cs"/>
          <w:color w:val="000000"/>
          <w:sz w:val="28"/>
          <w:szCs w:val="28"/>
          <w:rtl/>
        </w:rPr>
        <w:t> </w:t>
      </w:r>
    </w:p>
    <w:p w:rsidR="00DD6123" w:rsidRPr="00DD6123" w:rsidRDefault="00DD6123" w:rsidP="00DD6123">
      <w:pPr>
        <w:spacing w:after="0" w:line="240" w:lineRule="auto"/>
        <w:jc w:val="both"/>
        <w:rPr>
          <w:rFonts w:ascii="Times New Roman" w:eastAsia="Times New Roman" w:hAnsi="Times New Roman" w:cs="David" w:hint="cs"/>
          <w:color w:val="000000"/>
          <w:sz w:val="28"/>
          <w:szCs w:val="28"/>
          <w:rtl/>
        </w:rPr>
      </w:pPr>
      <w:r w:rsidRPr="00DD6123">
        <w:rPr>
          <w:rFonts w:ascii="Arial" w:eastAsia="Times New Roman" w:hAnsi="Arial" w:cs="David" w:hint="cs"/>
          <w:color w:val="000000"/>
          <w:sz w:val="28"/>
          <w:szCs w:val="28"/>
          <w:rtl/>
        </w:rPr>
        <w:t>המחשבה שהפרקליטות יכולה להיות "בור ללא תחתית" מבחינת קבלת תקנים ומשאבים אינה מציאותית. המהלך נועד אפוא לחיזוק הפרקליטות, לשמירת כוחה וכמובן למניעת שחיקה של הפרקליטים הנדרשים היום לטפל בכמות אדירה של תיקים ללא כל אפשרות הולמת למיקוד מאמצים  ולקידום המהלכים היזומים.</w:t>
      </w:r>
    </w:p>
    <w:p w:rsidR="00DD6123" w:rsidRPr="00DD6123" w:rsidRDefault="00DD6123" w:rsidP="00DD6123">
      <w:pPr>
        <w:spacing w:after="0" w:line="240" w:lineRule="auto"/>
        <w:jc w:val="both"/>
        <w:rPr>
          <w:rFonts w:ascii="Times New Roman" w:eastAsia="Times New Roman" w:hAnsi="Times New Roman" w:cs="David" w:hint="cs"/>
          <w:color w:val="000000"/>
          <w:sz w:val="28"/>
          <w:szCs w:val="28"/>
          <w:rtl/>
        </w:rPr>
      </w:pPr>
    </w:p>
    <w:p w:rsidR="00DD6123" w:rsidRPr="00DD6123" w:rsidRDefault="00DD6123" w:rsidP="00DD6123">
      <w:pPr>
        <w:spacing w:after="0" w:line="240" w:lineRule="auto"/>
        <w:jc w:val="both"/>
        <w:rPr>
          <w:rFonts w:ascii="Times New Roman" w:eastAsia="Times New Roman" w:hAnsi="Times New Roman" w:cs="David" w:hint="cs"/>
          <w:color w:val="000000"/>
          <w:sz w:val="28"/>
          <w:szCs w:val="28"/>
          <w:rtl/>
        </w:rPr>
      </w:pPr>
      <w:r w:rsidRPr="00DD6123">
        <w:rPr>
          <w:rFonts w:ascii="Times New Roman" w:eastAsia="Times New Roman" w:hAnsi="Times New Roman" w:cs="David" w:hint="cs"/>
          <w:color w:val="000000"/>
          <w:sz w:val="28"/>
          <w:szCs w:val="28"/>
          <w:rtl/>
        </w:rPr>
        <w:t>מעבר לכך, אינני צריכה לומר לאיש מכם עד כמה מובהק האינטרס הישיר של הפרקליטים הצעירים והוותיקים כאחד לקדם רפורמה שכזו, וממילא קשה לעמוד על האינטרס עליו מבקש יו"ר הועד להילחם בנושא זה; האם לא ברור לכולנו שאטרקטיבית לאין ערוך מן הבחינה המקצועית לכל פרקליט השוקל הצטרפות למערכת שלנו (או הנמצא כבר בתוכה) לטפל בתיקים שלטוניים, מורכבים ומשמעותיים שבליבת הליטיגציה השלטונית, תחת "לבלות" שנים ראשונות במערכת בעשייה יומיומית החוזרת על עצמה בתחומים בהם לא קיים בידי הפרקליטות יתרון יחסי ממשי על משרדי ייצוג אחרים  שיהיו מפוקחים ע"י הפרקליטות?? והאם לא ברור לכל פרקליט ותיק ומנוסה יותר עד כמה פינויים של משאבי כוח אדם של הצעירים יכול היה לתרום להכנה ולהופעה מקצועית טובה יותר "בתיקים הכבדים" ביותר להם המדינה היא צד בערכאות??</w:t>
      </w:r>
    </w:p>
    <w:p w:rsidR="00DD6123" w:rsidRPr="00DD6123" w:rsidRDefault="00DD6123" w:rsidP="00DD6123">
      <w:pPr>
        <w:spacing w:after="0" w:line="240" w:lineRule="auto"/>
        <w:jc w:val="both"/>
        <w:rPr>
          <w:rFonts w:ascii="Times New Roman" w:eastAsia="Times New Roman" w:hAnsi="Times New Roman" w:cs="David" w:hint="cs"/>
          <w:color w:val="000000"/>
          <w:sz w:val="28"/>
          <w:szCs w:val="28"/>
          <w:rtl/>
        </w:rPr>
      </w:pPr>
      <w:r w:rsidRPr="00DD6123">
        <w:rPr>
          <w:rFonts w:ascii="Arial" w:eastAsia="Times New Roman" w:hAnsi="Arial" w:cs="David" w:hint="cs"/>
          <w:color w:val="000000"/>
          <w:sz w:val="28"/>
          <w:szCs w:val="28"/>
          <w:rtl/>
        </w:rPr>
        <w:t> </w:t>
      </w:r>
    </w:p>
    <w:p w:rsidR="00DD6123" w:rsidRPr="00DD6123" w:rsidRDefault="00DD6123" w:rsidP="00DD6123">
      <w:pPr>
        <w:spacing w:after="0" w:line="240" w:lineRule="auto"/>
        <w:jc w:val="both"/>
        <w:rPr>
          <w:rFonts w:ascii="Arial" w:eastAsia="Times New Roman" w:hAnsi="Arial" w:cs="David" w:hint="cs"/>
          <w:color w:val="000000"/>
          <w:sz w:val="28"/>
          <w:szCs w:val="28"/>
          <w:rtl/>
        </w:rPr>
      </w:pPr>
      <w:r w:rsidRPr="00DD6123">
        <w:rPr>
          <w:rFonts w:ascii="Arial" w:eastAsia="Times New Roman" w:hAnsi="Arial" w:cs="David" w:hint="cs"/>
          <w:color w:val="000000"/>
          <w:sz w:val="28"/>
          <w:szCs w:val="28"/>
          <w:rtl/>
        </w:rPr>
        <w:t xml:space="preserve">בחלוף כשלוש שנים מהקמת היחידה לתביעות ומיקור חוץ ברור היום שהקמת היחידה היא בעלת השפעה ממשית על קידום האסטרטגיה של הגשת התביעות היזומות וקידום הכלי האזרחי באכיפה. יחד עם זאת, בתחום מיקור החוץ נוכחנו לדעת שהקריטריונים שנקבעו בשעתו להוצאת תיקים למיקור חוץ מאפשרים הוצאת כמות זניחה ביחס להיקף העבודה ולהשפעה הנדרשת לצורך מיקוד המאמצים. </w:t>
      </w:r>
    </w:p>
    <w:p w:rsidR="00DD6123" w:rsidRPr="00DD6123" w:rsidRDefault="00DD6123" w:rsidP="00DD6123">
      <w:pPr>
        <w:spacing w:after="0" w:line="240" w:lineRule="auto"/>
        <w:jc w:val="both"/>
        <w:rPr>
          <w:rFonts w:ascii="Times New Roman" w:eastAsia="Times New Roman" w:hAnsi="Times New Roman" w:cs="David" w:hint="cs"/>
          <w:color w:val="000000"/>
          <w:sz w:val="28"/>
          <w:szCs w:val="28"/>
          <w:rtl/>
        </w:rPr>
      </w:pPr>
      <w:r w:rsidRPr="00DD6123">
        <w:rPr>
          <w:rFonts w:ascii="Arial" w:eastAsia="Times New Roman" w:hAnsi="Arial" w:cs="David" w:hint="cs"/>
          <w:color w:val="000000"/>
          <w:sz w:val="28"/>
          <w:szCs w:val="28"/>
          <w:rtl/>
        </w:rPr>
        <w:t> </w:t>
      </w:r>
    </w:p>
    <w:p w:rsidR="00DD6123" w:rsidRPr="00DD6123" w:rsidRDefault="00DD6123" w:rsidP="00DD6123">
      <w:pPr>
        <w:spacing w:after="0" w:line="240" w:lineRule="auto"/>
        <w:jc w:val="both"/>
        <w:rPr>
          <w:rFonts w:ascii="Times New Roman" w:eastAsia="Times New Roman" w:hAnsi="Times New Roman" w:cs="David" w:hint="cs"/>
          <w:color w:val="000000"/>
          <w:sz w:val="28"/>
          <w:szCs w:val="28"/>
          <w:rtl/>
        </w:rPr>
      </w:pPr>
      <w:r w:rsidRPr="00DD6123">
        <w:rPr>
          <w:rFonts w:ascii="Arial" w:eastAsia="Times New Roman" w:hAnsi="Arial" w:cs="David" w:hint="cs"/>
          <w:color w:val="000000"/>
          <w:sz w:val="28"/>
          <w:szCs w:val="28"/>
          <w:rtl/>
        </w:rPr>
        <w:t>עוד נציין, נציג הוועד  מדווח על כל התחומים המועברים לטיפול באמצעות עורכי דין חיצוניים, ומידי חודש  מועבר לנציג הועד פירוט מלא של התיקים שמועברים  בכל חודש לטיפול  עורכי דין  חיצוניים  ע"י יחידת התביעות ומיקור חוץ. </w:t>
      </w:r>
    </w:p>
    <w:p w:rsidR="00DD6123" w:rsidRPr="00DD6123" w:rsidRDefault="00DD6123" w:rsidP="00DD6123">
      <w:pPr>
        <w:spacing w:after="0" w:line="240" w:lineRule="auto"/>
        <w:jc w:val="both"/>
        <w:rPr>
          <w:rFonts w:ascii="Arial" w:eastAsia="Times New Roman" w:hAnsi="Arial" w:cs="David" w:hint="cs"/>
          <w:color w:val="000000"/>
          <w:sz w:val="28"/>
          <w:szCs w:val="28"/>
          <w:rtl/>
        </w:rPr>
      </w:pPr>
    </w:p>
    <w:p w:rsidR="00DD6123" w:rsidRPr="00DD6123" w:rsidRDefault="00DD6123" w:rsidP="00DD6123">
      <w:pPr>
        <w:spacing w:after="0" w:line="240" w:lineRule="auto"/>
        <w:jc w:val="both"/>
        <w:rPr>
          <w:rFonts w:ascii="Arial" w:eastAsia="Times New Roman" w:hAnsi="Arial" w:cs="David" w:hint="cs"/>
          <w:color w:val="000000"/>
          <w:sz w:val="28"/>
          <w:szCs w:val="28"/>
          <w:rtl/>
        </w:rPr>
      </w:pPr>
      <w:r w:rsidRPr="00DD6123">
        <w:rPr>
          <w:rFonts w:ascii="Arial" w:eastAsia="Times New Roman" w:hAnsi="Arial" w:cs="David" w:hint="cs"/>
          <w:color w:val="000000"/>
          <w:sz w:val="28"/>
          <w:szCs w:val="28"/>
          <w:rtl/>
        </w:rPr>
        <w:t>הפרקליטות יקרה לכולנו,  והשליחות הציבורית שכל אחד מאיתנו ממלא כבחירה בדרך מקצועית זו, היא הכוח המניע את כולנו.</w:t>
      </w:r>
    </w:p>
    <w:p w:rsidR="00DD6123" w:rsidRPr="00DD6123" w:rsidRDefault="00DD6123" w:rsidP="00DD6123">
      <w:pPr>
        <w:spacing w:after="0" w:line="240" w:lineRule="auto"/>
        <w:jc w:val="both"/>
        <w:rPr>
          <w:rFonts w:ascii="Arial" w:eastAsia="Times New Roman" w:hAnsi="Arial" w:cs="David" w:hint="cs"/>
          <w:color w:val="000000"/>
          <w:sz w:val="28"/>
          <w:szCs w:val="28"/>
          <w:rtl/>
        </w:rPr>
      </w:pPr>
    </w:p>
    <w:p w:rsidR="00DD6123" w:rsidRPr="00DD6123" w:rsidRDefault="00DD6123" w:rsidP="00DD6123">
      <w:pPr>
        <w:spacing w:after="0" w:line="240" w:lineRule="auto"/>
        <w:jc w:val="both"/>
        <w:rPr>
          <w:rFonts w:ascii="Arial" w:eastAsia="Times New Roman" w:hAnsi="Arial" w:cs="David" w:hint="cs"/>
          <w:color w:val="000000"/>
          <w:sz w:val="28"/>
          <w:szCs w:val="28"/>
          <w:rtl/>
        </w:rPr>
      </w:pPr>
      <w:r w:rsidRPr="00DD6123">
        <w:rPr>
          <w:rFonts w:ascii="Arial" w:eastAsia="Times New Roman" w:hAnsi="Arial" w:cs="David" w:hint="cs"/>
          <w:color w:val="000000"/>
          <w:sz w:val="28"/>
          <w:szCs w:val="28"/>
          <w:rtl/>
        </w:rPr>
        <w:t xml:space="preserve">אין זו המסגרת לטיעונים משפטיים, אך חשוב להעיר כי למיטב תפיסתנו "מסמך ההבנות בין ארגון פרקליטי המדינה לבין פרקליט המדינה" אינו בגדר הסכם קיבוצי וממילא איש לא התכוון להפר שום זכות של מאן </w:t>
      </w:r>
      <w:proofErr w:type="spellStart"/>
      <w:r w:rsidRPr="00DD6123">
        <w:rPr>
          <w:rFonts w:ascii="Arial" w:eastAsia="Times New Roman" w:hAnsi="Arial" w:cs="David" w:hint="cs"/>
          <w:color w:val="000000"/>
          <w:sz w:val="28"/>
          <w:szCs w:val="28"/>
          <w:rtl/>
        </w:rPr>
        <w:t>דהוא</w:t>
      </w:r>
      <w:proofErr w:type="spellEnd"/>
      <w:r w:rsidRPr="00DD6123">
        <w:rPr>
          <w:rFonts w:ascii="Arial" w:eastAsia="Times New Roman" w:hAnsi="Arial" w:cs="David" w:hint="cs"/>
          <w:color w:val="000000"/>
          <w:sz w:val="28"/>
          <w:szCs w:val="28"/>
          <w:rtl/>
        </w:rPr>
        <w:t xml:space="preserve"> בארגון, אלא נהפוך הוא, כאמור. </w:t>
      </w:r>
    </w:p>
    <w:p w:rsidR="00DD6123" w:rsidRPr="00DD6123" w:rsidRDefault="00DD6123" w:rsidP="00DD6123">
      <w:pPr>
        <w:spacing w:after="0" w:line="240" w:lineRule="auto"/>
        <w:jc w:val="both"/>
        <w:rPr>
          <w:rFonts w:ascii="Arial" w:eastAsia="Times New Roman" w:hAnsi="Arial" w:cs="David" w:hint="cs"/>
          <w:color w:val="000000"/>
          <w:sz w:val="28"/>
          <w:szCs w:val="28"/>
          <w:rtl/>
        </w:rPr>
      </w:pPr>
      <w:r w:rsidRPr="00DD6123">
        <w:rPr>
          <w:rFonts w:ascii="Arial" w:eastAsia="Times New Roman" w:hAnsi="Arial" w:cs="David" w:hint="cs"/>
          <w:color w:val="000000"/>
          <w:sz w:val="28"/>
          <w:szCs w:val="28"/>
          <w:rtl/>
        </w:rPr>
        <w:t> </w:t>
      </w:r>
      <w:r w:rsidRPr="00DD6123">
        <w:rPr>
          <w:rFonts w:ascii="Times New Roman" w:eastAsia="Times New Roman" w:hAnsi="Times New Roman" w:cs="David" w:hint="cs"/>
          <w:color w:val="000000"/>
          <w:sz w:val="28"/>
          <w:szCs w:val="28"/>
          <w:rtl/>
        </w:rPr>
        <w:t> </w:t>
      </w:r>
    </w:p>
    <w:p w:rsidR="00DD6123" w:rsidRPr="00DD6123" w:rsidRDefault="00DD6123" w:rsidP="00DD6123">
      <w:pPr>
        <w:spacing w:after="0" w:line="240" w:lineRule="auto"/>
        <w:jc w:val="both"/>
        <w:rPr>
          <w:rFonts w:ascii="Arial" w:eastAsia="Times New Roman" w:hAnsi="Arial" w:cs="David" w:hint="cs"/>
          <w:b/>
          <w:bCs/>
          <w:color w:val="000000"/>
          <w:sz w:val="28"/>
          <w:szCs w:val="28"/>
          <w:rtl/>
        </w:rPr>
      </w:pPr>
      <w:r w:rsidRPr="00DD6123">
        <w:rPr>
          <w:rFonts w:ascii="Arial" w:eastAsia="Times New Roman" w:hAnsi="Arial" w:cs="David" w:hint="cs"/>
          <w:b/>
          <w:bCs/>
          <w:color w:val="000000"/>
          <w:sz w:val="28"/>
          <w:szCs w:val="28"/>
          <w:rtl/>
        </w:rPr>
        <w:t>כאמור בסיכום הדיון ובמכתבי, ארגון הפרקליטים  מוזמן הרי להשמיע התייחסותו למתווה המוצע ולהעיר הערות על יסוד היכרותו את עבודת המחוזות. אכן, יש לקוות כי במהלך גיבוש עמדות הועד יובאו בחשבון גם עמדות כלל הפרקליטים – לאחר קריאה שלמה של לפחות המסמכים שהזכרתי לעיל.</w:t>
      </w:r>
    </w:p>
    <w:p w:rsidR="00DD6123" w:rsidRPr="00DD6123" w:rsidRDefault="00DD6123" w:rsidP="00DD6123">
      <w:pPr>
        <w:spacing w:after="0" w:line="240" w:lineRule="auto"/>
        <w:jc w:val="both"/>
        <w:rPr>
          <w:rFonts w:ascii="Arial" w:eastAsia="Times New Roman" w:hAnsi="Arial" w:cs="David" w:hint="cs"/>
          <w:color w:val="000000"/>
          <w:sz w:val="28"/>
          <w:szCs w:val="28"/>
          <w:rtl/>
        </w:rPr>
      </w:pPr>
    </w:p>
    <w:p w:rsidR="00DD6123" w:rsidRPr="00DD6123" w:rsidRDefault="00DD6123" w:rsidP="00DD6123">
      <w:pPr>
        <w:spacing w:after="0" w:line="240" w:lineRule="auto"/>
        <w:jc w:val="both"/>
        <w:rPr>
          <w:rFonts w:ascii="Arial" w:eastAsia="Times New Roman" w:hAnsi="Arial" w:cs="David" w:hint="cs"/>
          <w:color w:val="000000"/>
          <w:sz w:val="28"/>
          <w:szCs w:val="28"/>
          <w:rtl/>
        </w:rPr>
      </w:pPr>
      <w:r w:rsidRPr="00DD6123">
        <w:rPr>
          <w:rFonts w:ascii="Arial" w:eastAsia="Times New Roman" w:hAnsi="Arial" w:cs="David" w:hint="cs"/>
          <w:color w:val="000000"/>
          <w:sz w:val="28"/>
          <w:szCs w:val="28"/>
          <w:rtl/>
        </w:rPr>
        <w:t>בברכה,</w:t>
      </w:r>
    </w:p>
    <w:p w:rsidR="00DD6123" w:rsidRPr="00DD6123" w:rsidRDefault="00DD6123" w:rsidP="00DD6123">
      <w:pPr>
        <w:spacing w:after="0" w:line="240" w:lineRule="auto"/>
        <w:jc w:val="both"/>
        <w:rPr>
          <w:rFonts w:ascii="Arial" w:eastAsia="Times New Roman" w:hAnsi="Arial" w:cs="David" w:hint="cs"/>
          <w:color w:val="000000"/>
          <w:sz w:val="28"/>
          <w:szCs w:val="28"/>
          <w:rtl/>
        </w:rPr>
      </w:pPr>
    </w:p>
    <w:p w:rsidR="00DD6123" w:rsidRPr="00DD6123" w:rsidRDefault="00DD6123" w:rsidP="00CD349C">
      <w:pPr>
        <w:spacing w:after="0" w:line="240" w:lineRule="auto"/>
        <w:jc w:val="both"/>
        <w:rPr>
          <w:rFonts w:ascii="Times New Roman" w:eastAsia="Times New Roman" w:hAnsi="Times New Roman" w:cs="David" w:hint="cs"/>
          <w:color w:val="000000"/>
          <w:sz w:val="28"/>
          <w:szCs w:val="28"/>
          <w:rtl/>
        </w:rPr>
      </w:pPr>
      <w:r w:rsidRPr="00DD6123">
        <w:rPr>
          <w:rFonts w:ascii="Arial" w:eastAsia="Times New Roman" w:hAnsi="Arial" w:cs="David" w:hint="cs"/>
          <w:color w:val="000000"/>
          <w:sz w:val="28"/>
          <w:szCs w:val="28"/>
          <w:rtl/>
        </w:rPr>
        <w:t xml:space="preserve">אורית </w:t>
      </w:r>
      <w:proofErr w:type="spellStart"/>
      <w:r w:rsidRPr="00DD6123">
        <w:rPr>
          <w:rFonts w:ascii="Arial" w:eastAsia="Times New Roman" w:hAnsi="Arial" w:cs="David" w:hint="cs"/>
          <w:color w:val="000000"/>
          <w:sz w:val="28"/>
          <w:szCs w:val="28"/>
          <w:rtl/>
        </w:rPr>
        <w:t>סון</w:t>
      </w:r>
      <w:proofErr w:type="spellEnd"/>
    </w:p>
    <w:p w:rsidR="00C12849" w:rsidRDefault="00C12849">
      <w:pPr>
        <w:rPr>
          <w:rFonts w:hint="cs"/>
        </w:rPr>
      </w:pPr>
    </w:p>
    <w:sectPr w:rsidR="00C12849" w:rsidSect="004D243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David">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6123"/>
    <w:rsid w:val="002D3749"/>
    <w:rsid w:val="004D243D"/>
    <w:rsid w:val="00881FB8"/>
    <w:rsid w:val="00C12849"/>
    <w:rsid w:val="00CD349C"/>
    <w:rsid w:val="00DD612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84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D6123"/>
    <w:rPr>
      <w:b/>
      <w:bCs/>
    </w:rPr>
  </w:style>
</w:styles>
</file>

<file path=word/webSettings.xml><?xml version="1.0" encoding="utf-8"?>
<w:webSettings xmlns:r="http://schemas.openxmlformats.org/officeDocument/2006/relationships" xmlns:w="http://schemas.openxmlformats.org/wordprocessingml/2006/main">
  <w:divs>
    <w:div w:id="760443417">
      <w:bodyDiv w:val="1"/>
      <w:marLeft w:val="0"/>
      <w:marRight w:val="0"/>
      <w:marTop w:val="0"/>
      <w:marBottom w:val="0"/>
      <w:divBdr>
        <w:top w:val="none" w:sz="0" w:space="0" w:color="auto"/>
        <w:left w:val="none" w:sz="0" w:space="0" w:color="auto"/>
        <w:bottom w:val="none" w:sz="0" w:space="0" w:color="auto"/>
        <w:right w:val="none" w:sz="0" w:space="0" w:color="auto"/>
      </w:divBdr>
      <w:divsChild>
        <w:div w:id="1745764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3672</Characters>
  <Application>Microsoft Office Word</Application>
  <DocSecurity>0</DocSecurity>
  <Lines>30</Lines>
  <Paragraphs>8</Paragraphs>
  <ScaleCrop>false</ScaleCrop>
  <Company>PwC Israel</Company>
  <LinksUpToDate>false</LinksUpToDate>
  <CharactersWithSpaces>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itamarl</dc:creator>
  <cp:keywords/>
  <dc:description/>
  <cp:lastModifiedBy>itamarl</cp:lastModifiedBy>
  <cp:revision>2</cp:revision>
  <dcterms:created xsi:type="dcterms:W3CDTF">2011-08-10T11:07:00Z</dcterms:created>
  <dcterms:modified xsi:type="dcterms:W3CDTF">2011-08-10T11:07:00Z</dcterms:modified>
</cp:coreProperties>
</file>