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7FEC" w14:textId="78264924" w:rsidR="005104C7" w:rsidRPr="005104C7" w:rsidRDefault="005104C7" w:rsidP="005104C7">
      <w:pPr>
        <w:bidi/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5104C7">
        <w:rPr>
          <w:rFonts w:ascii="David" w:hAnsi="David" w:cs="David"/>
          <w:b/>
          <w:bCs/>
          <w:sz w:val="28"/>
          <w:szCs w:val="28"/>
          <w:rtl/>
        </w:rPr>
        <w:t>פרטי ההסכם</w:t>
      </w:r>
      <w:r w:rsidRPr="005104C7">
        <w:rPr>
          <w:rFonts w:ascii="David" w:hAnsi="David" w:cs="David" w:hint="cs"/>
          <w:b/>
          <w:bCs/>
          <w:sz w:val="28"/>
          <w:szCs w:val="28"/>
          <w:rtl/>
        </w:rPr>
        <w:t xml:space="preserve"> למשרתי המילואים:</w:t>
      </w:r>
      <w:r w:rsidRPr="005104C7">
        <w:rPr>
          <w:rFonts w:ascii="David" w:hAnsi="David" w:cs="David" w:hint="cs"/>
          <w:b/>
          <w:bCs/>
          <w:sz w:val="28"/>
          <w:szCs w:val="28"/>
        </w:rPr>
        <w:t xml:space="preserve"> </w:t>
      </w:r>
      <w:r w:rsidRPr="005104C7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3DEF0FF0" w14:textId="77777777" w:rsidR="005104C7" w:rsidRPr="005104C7" w:rsidRDefault="005104C7" w:rsidP="005104C7">
      <w:pPr>
        <w:bidi/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78616CDA" w14:textId="77777777" w:rsidR="005104C7" w:rsidRDefault="005104C7" w:rsidP="005104C7">
      <w:pPr>
        <w:pStyle w:val="a3"/>
        <w:numPr>
          <w:ilvl w:val="0"/>
          <w:numId w:val="1"/>
        </w:numPr>
        <w:bidi/>
        <w:spacing w:after="0" w:line="360" w:lineRule="auto"/>
        <w:jc w:val="both"/>
        <w:rPr>
          <w:rFonts w:ascii="David" w:hAnsi="David" w:cs="David"/>
          <w:sz w:val="28"/>
          <w:szCs w:val="28"/>
        </w:rPr>
      </w:pPr>
      <w:r w:rsidRPr="005104C7">
        <w:rPr>
          <w:rFonts w:ascii="David" w:hAnsi="David" w:cs="David"/>
          <w:sz w:val="28"/>
          <w:szCs w:val="28"/>
          <w:rtl/>
        </w:rPr>
        <w:t>הגנה בפני פיטורים – משרת מילואים ששירת 60 יום ומעלה בתקופת ההסכם, יקבל הגנה בפני פיטורים לתקופה של 60 יום לאחר תום שירות המילואים.</w:t>
      </w:r>
    </w:p>
    <w:p w14:paraId="1418058C" w14:textId="77777777" w:rsidR="00572A03" w:rsidRPr="005104C7" w:rsidRDefault="00572A03" w:rsidP="00572A03">
      <w:pPr>
        <w:pStyle w:val="a3"/>
        <w:bidi/>
        <w:spacing w:after="0" w:line="360" w:lineRule="auto"/>
        <w:jc w:val="both"/>
        <w:rPr>
          <w:rFonts w:ascii="David" w:hAnsi="David" w:cs="David"/>
          <w:sz w:val="28"/>
          <w:szCs w:val="28"/>
        </w:rPr>
      </w:pPr>
    </w:p>
    <w:p w14:paraId="4C99EB85" w14:textId="75D4595A" w:rsidR="005104C7" w:rsidRPr="005104C7" w:rsidRDefault="005104C7" w:rsidP="005104C7">
      <w:pPr>
        <w:pStyle w:val="a3"/>
        <w:numPr>
          <w:ilvl w:val="0"/>
          <w:numId w:val="1"/>
        </w:numPr>
        <w:bidi/>
        <w:spacing w:after="0" w:line="360" w:lineRule="auto"/>
        <w:jc w:val="both"/>
        <w:rPr>
          <w:rFonts w:ascii="David" w:hAnsi="David" w:cs="David"/>
          <w:sz w:val="28"/>
          <w:szCs w:val="28"/>
        </w:rPr>
      </w:pPr>
      <w:r w:rsidRPr="005104C7">
        <w:rPr>
          <w:rFonts w:ascii="David" w:hAnsi="David" w:cs="David"/>
          <w:sz w:val="28"/>
          <w:szCs w:val="28"/>
          <w:rtl/>
        </w:rPr>
        <w:t>ימי היעדרות בן זוג של משרת מילואים שעומד בכללים המפורטים יהיה זכאי לתוספת ימי היעדרות בתשלום כמפורט להלן: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52"/>
        <w:gridCol w:w="2722"/>
      </w:tblGrid>
      <w:tr w:rsidR="005104C7" w:rsidRPr="005104C7" w14:paraId="24FA7F87" w14:textId="77777777" w:rsidTr="00622DBE">
        <w:trPr>
          <w:jc w:val="center"/>
        </w:trPr>
        <w:tc>
          <w:tcPr>
            <w:tcW w:w="2752" w:type="dxa"/>
          </w:tcPr>
          <w:p w14:paraId="47ED1EC3" w14:textId="77777777" w:rsidR="005104C7" w:rsidRPr="005104C7" w:rsidRDefault="005104C7" w:rsidP="00622DBE">
            <w:pPr>
              <w:spacing w:after="120" w:line="360" w:lineRule="auto"/>
              <w:jc w:val="center"/>
              <w:rPr>
                <w:rFonts w:ascii="David" w:eastAsia="FrankRuehl" w:hAnsi="David" w:cs="David"/>
                <w:sz w:val="28"/>
                <w:szCs w:val="28"/>
                <w:rtl/>
              </w:rPr>
            </w:pPr>
            <w:r w:rsidRPr="005104C7">
              <w:rPr>
                <w:rFonts w:ascii="David" w:eastAsia="FrankRuehl" w:hAnsi="David" w:cs="David"/>
                <w:sz w:val="28"/>
                <w:szCs w:val="28"/>
                <w:rtl/>
              </w:rPr>
              <w:t>ימי מילואים מצטברים במהלך תקופת ההסכם</w:t>
            </w:r>
          </w:p>
        </w:tc>
        <w:tc>
          <w:tcPr>
            <w:tcW w:w="2722" w:type="dxa"/>
          </w:tcPr>
          <w:p w14:paraId="6EC209AF" w14:textId="77777777" w:rsidR="005104C7" w:rsidRPr="005104C7" w:rsidRDefault="005104C7" w:rsidP="00622DBE">
            <w:pPr>
              <w:spacing w:after="120" w:line="360" w:lineRule="auto"/>
              <w:jc w:val="center"/>
              <w:rPr>
                <w:rFonts w:ascii="David" w:eastAsia="FrankRuehl" w:hAnsi="David" w:cs="David"/>
                <w:sz w:val="28"/>
                <w:szCs w:val="28"/>
                <w:rtl/>
              </w:rPr>
            </w:pPr>
            <w:r w:rsidRPr="005104C7">
              <w:rPr>
                <w:rFonts w:ascii="David" w:eastAsia="FrankRuehl" w:hAnsi="David" w:cs="David"/>
                <w:sz w:val="28"/>
                <w:szCs w:val="28"/>
                <w:rtl/>
              </w:rPr>
              <w:t>תוספת ימי היעדרות בתשלום לבן הזוג</w:t>
            </w:r>
          </w:p>
        </w:tc>
      </w:tr>
      <w:tr w:rsidR="005104C7" w:rsidRPr="005104C7" w14:paraId="2363B968" w14:textId="77777777" w:rsidTr="00622DBE">
        <w:trPr>
          <w:jc w:val="center"/>
        </w:trPr>
        <w:tc>
          <w:tcPr>
            <w:tcW w:w="2752" w:type="dxa"/>
          </w:tcPr>
          <w:p w14:paraId="38FB28BF" w14:textId="77777777" w:rsidR="005104C7" w:rsidRPr="005104C7" w:rsidRDefault="005104C7" w:rsidP="00622DBE">
            <w:pPr>
              <w:spacing w:after="120" w:line="360" w:lineRule="auto"/>
              <w:jc w:val="center"/>
              <w:rPr>
                <w:rFonts w:ascii="David" w:eastAsia="FrankRuehl" w:hAnsi="David" w:cs="David"/>
                <w:sz w:val="28"/>
                <w:szCs w:val="28"/>
                <w:rtl/>
              </w:rPr>
            </w:pPr>
            <w:r w:rsidRPr="005104C7">
              <w:rPr>
                <w:rFonts w:ascii="David" w:eastAsia="FrankRuehl" w:hAnsi="David" w:cs="David"/>
                <w:sz w:val="28"/>
                <w:szCs w:val="28"/>
                <w:rtl/>
              </w:rPr>
              <w:t xml:space="preserve">עד 30 </w:t>
            </w:r>
          </w:p>
        </w:tc>
        <w:tc>
          <w:tcPr>
            <w:tcW w:w="2722" w:type="dxa"/>
          </w:tcPr>
          <w:p w14:paraId="165704E6" w14:textId="77777777" w:rsidR="005104C7" w:rsidRPr="005104C7" w:rsidRDefault="005104C7" w:rsidP="00622DBE">
            <w:pPr>
              <w:spacing w:after="120" w:line="360" w:lineRule="auto"/>
              <w:jc w:val="center"/>
              <w:rPr>
                <w:rFonts w:ascii="David" w:eastAsia="FrankRuehl" w:hAnsi="David" w:cs="David"/>
                <w:sz w:val="28"/>
                <w:szCs w:val="28"/>
                <w:rtl/>
              </w:rPr>
            </w:pPr>
            <w:r w:rsidRPr="005104C7">
              <w:rPr>
                <w:rFonts w:ascii="David" w:eastAsia="FrankRuehl" w:hAnsi="David" w:cs="David"/>
                <w:sz w:val="28"/>
                <w:szCs w:val="28"/>
                <w:rtl/>
              </w:rPr>
              <w:t>0</w:t>
            </w:r>
          </w:p>
        </w:tc>
      </w:tr>
      <w:tr w:rsidR="005104C7" w:rsidRPr="005104C7" w14:paraId="57E3DE21" w14:textId="77777777" w:rsidTr="00622DBE">
        <w:trPr>
          <w:jc w:val="center"/>
        </w:trPr>
        <w:tc>
          <w:tcPr>
            <w:tcW w:w="2752" w:type="dxa"/>
          </w:tcPr>
          <w:p w14:paraId="43CC9A0E" w14:textId="77777777" w:rsidR="005104C7" w:rsidRPr="005104C7" w:rsidRDefault="005104C7" w:rsidP="00622DBE">
            <w:pPr>
              <w:spacing w:after="120" w:line="360" w:lineRule="auto"/>
              <w:jc w:val="center"/>
              <w:rPr>
                <w:rFonts w:ascii="David" w:eastAsia="FrankRuehl" w:hAnsi="David" w:cs="David"/>
                <w:sz w:val="28"/>
                <w:szCs w:val="28"/>
                <w:rtl/>
              </w:rPr>
            </w:pPr>
            <w:r w:rsidRPr="005104C7">
              <w:rPr>
                <w:rFonts w:ascii="David" w:eastAsia="FrankRuehl" w:hAnsi="David" w:cs="David"/>
                <w:sz w:val="28"/>
                <w:szCs w:val="28"/>
                <w:rtl/>
              </w:rPr>
              <w:t>31-60</w:t>
            </w:r>
          </w:p>
        </w:tc>
        <w:tc>
          <w:tcPr>
            <w:tcW w:w="2722" w:type="dxa"/>
          </w:tcPr>
          <w:p w14:paraId="1B3EEBAC" w14:textId="77777777" w:rsidR="005104C7" w:rsidRPr="005104C7" w:rsidRDefault="005104C7" w:rsidP="00622DBE">
            <w:pPr>
              <w:spacing w:after="120" w:line="360" w:lineRule="auto"/>
              <w:jc w:val="center"/>
              <w:rPr>
                <w:rFonts w:ascii="David" w:eastAsia="FrankRuehl" w:hAnsi="David" w:cs="David"/>
                <w:sz w:val="28"/>
                <w:szCs w:val="28"/>
                <w:rtl/>
              </w:rPr>
            </w:pPr>
            <w:r w:rsidRPr="005104C7">
              <w:rPr>
                <w:rFonts w:ascii="David" w:eastAsia="FrankRuehl" w:hAnsi="David" w:cs="David"/>
                <w:sz w:val="28"/>
                <w:szCs w:val="28"/>
                <w:rtl/>
              </w:rPr>
              <w:t>2</w:t>
            </w:r>
          </w:p>
        </w:tc>
      </w:tr>
      <w:tr w:rsidR="005104C7" w:rsidRPr="005104C7" w14:paraId="4D744665" w14:textId="77777777" w:rsidTr="00622DBE">
        <w:trPr>
          <w:jc w:val="center"/>
        </w:trPr>
        <w:tc>
          <w:tcPr>
            <w:tcW w:w="2752" w:type="dxa"/>
          </w:tcPr>
          <w:p w14:paraId="5BCD7E1D" w14:textId="77777777" w:rsidR="005104C7" w:rsidRPr="005104C7" w:rsidRDefault="005104C7" w:rsidP="00622DBE">
            <w:pPr>
              <w:spacing w:after="120" w:line="360" w:lineRule="auto"/>
              <w:jc w:val="center"/>
              <w:rPr>
                <w:rFonts w:ascii="David" w:eastAsia="FrankRuehl" w:hAnsi="David" w:cs="David"/>
                <w:sz w:val="28"/>
                <w:szCs w:val="28"/>
                <w:rtl/>
              </w:rPr>
            </w:pPr>
            <w:r w:rsidRPr="005104C7">
              <w:rPr>
                <w:rFonts w:ascii="David" w:eastAsia="FrankRuehl" w:hAnsi="David" w:cs="David"/>
                <w:sz w:val="28"/>
                <w:szCs w:val="28"/>
                <w:rtl/>
              </w:rPr>
              <w:t>61-90</w:t>
            </w:r>
          </w:p>
        </w:tc>
        <w:tc>
          <w:tcPr>
            <w:tcW w:w="2722" w:type="dxa"/>
          </w:tcPr>
          <w:p w14:paraId="756C0E7A" w14:textId="77777777" w:rsidR="005104C7" w:rsidRPr="005104C7" w:rsidRDefault="005104C7" w:rsidP="00622DBE">
            <w:pPr>
              <w:spacing w:after="120" w:line="360" w:lineRule="auto"/>
              <w:jc w:val="center"/>
              <w:rPr>
                <w:rFonts w:ascii="David" w:eastAsia="FrankRuehl" w:hAnsi="David" w:cs="David"/>
                <w:sz w:val="28"/>
                <w:szCs w:val="28"/>
                <w:rtl/>
              </w:rPr>
            </w:pPr>
            <w:r w:rsidRPr="005104C7">
              <w:rPr>
                <w:rFonts w:ascii="David" w:eastAsia="FrankRuehl" w:hAnsi="David" w:cs="David"/>
                <w:sz w:val="28"/>
                <w:szCs w:val="28"/>
                <w:rtl/>
              </w:rPr>
              <w:t>4</w:t>
            </w:r>
          </w:p>
        </w:tc>
      </w:tr>
      <w:tr w:rsidR="005104C7" w:rsidRPr="005104C7" w14:paraId="3C074CD2" w14:textId="77777777" w:rsidTr="00622DBE">
        <w:trPr>
          <w:jc w:val="center"/>
        </w:trPr>
        <w:tc>
          <w:tcPr>
            <w:tcW w:w="2752" w:type="dxa"/>
          </w:tcPr>
          <w:p w14:paraId="00BD7613" w14:textId="77777777" w:rsidR="005104C7" w:rsidRPr="005104C7" w:rsidRDefault="005104C7" w:rsidP="00622DBE">
            <w:pPr>
              <w:spacing w:after="120" w:line="360" w:lineRule="auto"/>
              <w:jc w:val="center"/>
              <w:rPr>
                <w:rFonts w:ascii="David" w:eastAsia="FrankRuehl" w:hAnsi="David" w:cs="David"/>
                <w:sz w:val="28"/>
                <w:szCs w:val="28"/>
                <w:rtl/>
              </w:rPr>
            </w:pPr>
            <w:r w:rsidRPr="005104C7">
              <w:rPr>
                <w:rFonts w:ascii="David" w:eastAsia="FrankRuehl" w:hAnsi="David" w:cs="David"/>
                <w:sz w:val="28"/>
                <w:szCs w:val="28"/>
                <w:rtl/>
              </w:rPr>
              <w:t>91-120</w:t>
            </w:r>
          </w:p>
        </w:tc>
        <w:tc>
          <w:tcPr>
            <w:tcW w:w="2722" w:type="dxa"/>
          </w:tcPr>
          <w:p w14:paraId="7F676129" w14:textId="77777777" w:rsidR="005104C7" w:rsidRPr="005104C7" w:rsidRDefault="005104C7" w:rsidP="00622DBE">
            <w:pPr>
              <w:tabs>
                <w:tab w:val="left" w:pos="1116"/>
                <w:tab w:val="center" w:pos="1253"/>
              </w:tabs>
              <w:spacing w:after="120" w:line="360" w:lineRule="auto"/>
              <w:jc w:val="center"/>
              <w:rPr>
                <w:rFonts w:ascii="David" w:eastAsia="FrankRuehl" w:hAnsi="David" w:cs="David"/>
                <w:sz w:val="28"/>
                <w:szCs w:val="28"/>
                <w:rtl/>
              </w:rPr>
            </w:pPr>
            <w:r w:rsidRPr="005104C7">
              <w:rPr>
                <w:rFonts w:ascii="David" w:eastAsia="FrankRuehl" w:hAnsi="David" w:cs="David"/>
                <w:sz w:val="28"/>
                <w:szCs w:val="28"/>
                <w:rtl/>
              </w:rPr>
              <w:t>6</w:t>
            </w:r>
          </w:p>
        </w:tc>
      </w:tr>
      <w:tr w:rsidR="005104C7" w:rsidRPr="005104C7" w14:paraId="6989D18E" w14:textId="77777777" w:rsidTr="00622DBE">
        <w:trPr>
          <w:jc w:val="center"/>
        </w:trPr>
        <w:tc>
          <w:tcPr>
            <w:tcW w:w="2752" w:type="dxa"/>
          </w:tcPr>
          <w:p w14:paraId="7F1ADB18" w14:textId="77777777" w:rsidR="005104C7" w:rsidRPr="005104C7" w:rsidRDefault="005104C7" w:rsidP="00622DBE">
            <w:pPr>
              <w:spacing w:after="120" w:line="360" w:lineRule="auto"/>
              <w:jc w:val="center"/>
              <w:rPr>
                <w:rFonts w:ascii="David" w:eastAsia="FrankRuehl" w:hAnsi="David" w:cs="David"/>
                <w:sz w:val="28"/>
                <w:szCs w:val="28"/>
                <w:rtl/>
              </w:rPr>
            </w:pPr>
            <w:r w:rsidRPr="005104C7">
              <w:rPr>
                <w:rFonts w:ascii="David" w:eastAsia="FrankRuehl" w:hAnsi="David" w:cs="David"/>
                <w:sz w:val="28"/>
                <w:szCs w:val="28"/>
                <w:rtl/>
              </w:rPr>
              <w:t>121 ומעלה</w:t>
            </w:r>
          </w:p>
        </w:tc>
        <w:tc>
          <w:tcPr>
            <w:tcW w:w="2722" w:type="dxa"/>
          </w:tcPr>
          <w:p w14:paraId="44541A82" w14:textId="77777777" w:rsidR="005104C7" w:rsidRPr="005104C7" w:rsidRDefault="005104C7" w:rsidP="00622DBE">
            <w:pPr>
              <w:spacing w:after="120" w:line="360" w:lineRule="auto"/>
              <w:jc w:val="center"/>
              <w:rPr>
                <w:rFonts w:ascii="David" w:eastAsia="FrankRuehl" w:hAnsi="David" w:cs="David"/>
                <w:sz w:val="28"/>
                <w:szCs w:val="28"/>
                <w:rtl/>
              </w:rPr>
            </w:pPr>
            <w:r w:rsidRPr="005104C7">
              <w:rPr>
                <w:rFonts w:ascii="David" w:eastAsia="FrankRuehl" w:hAnsi="David" w:cs="David"/>
                <w:sz w:val="28"/>
                <w:szCs w:val="28"/>
                <w:rtl/>
              </w:rPr>
              <w:t>8</w:t>
            </w:r>
          </w:p>
        </w:tc>
      </w:tr>
    </w:tbl>
    <w:p w14:paraId="673916BD" w14:textId="77777777" w:rsidR="005104C7" w:rsidRPr="005104C7" w:rsidRDefault="005104C7" w:rsidP="005104C7">
      <w:pPr>
        <w:pStyle w:val="a3"/>
        <w:bidi/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142A4EEB" w14:textId="77777777" w:rsidR="005104C7" w:rsidRPr="005104C7" w:rsidRDefault="005104C7" w:rsidP="005104C7">
      <w:pPr>
        <w:pStyle w:val="a3"/>
        <w:numPr>
          <w:ilvl w:val="1"/>
          <w:numId w:val="3"/>
        </w:numPr>
        <w:bidi/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104C7">
        <w:rPr>
          <w:rFonts w:ascii="David" w:hAnsi="David" w:cs="David"/>
          <w:sz w:val="28"/>
          <w:szCs w:val="28"/>
          <w:rtl/>
        </w:rPr>
        <w:t>לעניין הסכם זה – "בן זוג של משרת במילואים":</w:t>
      </w:r>
    </w:p>
    <w:p w14:paraId="36224352" w14:textId="77777777" w:rsidR="005104C7" w:rsidRPr="005104C7" w:rsidRDefault="005104C7" w:rsidP="005104C7">
      <w:pPr>
        <w:numPr>
          <w:ilvl w:val="2"/>
          <w:numId w:val="3"/>
        </w:num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בן זוג של משרת במילואים שלהם ילד אחד לפחות מתחת לגיל 14;</w:t>
      </w:r>
    </w:p>
    <w:p w14:paraId="5B7D723C" w14:textId="77777777" w:rsidR="005104C7" w:rsidRPr="005104C7" w:rsidRDefault="005104C7" w:rsidP="005104C7">
      <w:pPr>
        <w:numPr>
          <w:ilvl w:val="2"/>
          <w:numId w:val="3"/>
        </w:num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בן זוג של משרת  במילואים שלהם ילד עד גיל 18 שחולה במחלה ממארת או מטופל בדיאליזה;</w:t>
      </w:r>
    </w:p>
    <w:p w14:paraId="769452A4" w14:textId="77777777" w:rsidR="005104C7" w:rsidRPr="005104C7" w:rsidRDefault="005104C7" w:rsidP="005104C7">
      <w:pPr>
        <w:numPr>
          <w:ilvl w:val="2"/>
          <w:numId w:val="3"/>
        </w:num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 xml:space="preserve">בן זוג של משרת במילואים שבהשגחתם או בטיפולם הבלעדי, קרוב שהוא אדם עם מוגבלות כהגדרתו בסעיף 5 לחוק שוויון זכויות לאנשים עם מוגבלות, התשנ"ח-1998; </w:t>
      </w:r>
    </w:p>
    <w:p w14:paraId="33335E88" w14:textId="77777777" w:rsidR="005104C7" w:rsidRPr="005104C7" w:rsidRDefault="005104C7" w:rsidP="005104C7">
      <w:pPr>
        <w:numPr>
          <w:ilvl w:val="2"/>
          <w:numId w:val="3"/>
        </w:num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בן זוג של משרת במילואים שלו או לבן זוגו הורה חולה כהגדרתו בחוק דמי מחלה (היעדרות בשל מחלת הורה), התשנ"ד-1993.</w:t>
      </w:r>
    </w:p>
    <w:p w14:paraId="54BE521C" w14:textId="77777777" w:rsidR="005104C7" w:rsidRPr="005104C7" w:rsidRDefault="005104C7" w:rsidP="005104C7">
      <w:pPr>
        <w:pStyle w:val="a3"/>
        <w:numPr>
          <w:ilvl w:val="1"/>
          <w:numId w:val="3"/>
        </w:numPr>
        <w:bidi/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104C7">
        <w:rPr>
          <w:rFonts w:ascii="David" w:hAnsi="David" w:cs="David"/>
          <w:sz w:val="28"/>
          <w:szCs w:val="28"/>
          <w:rtl/>
        </w:rPr>
        <w:t>ניתן יהיה לממש את ימי ההיעדרות באחת או יותר מהנסיבות הבאות:</w:t>
      </w:r>
    </w:p>
    <w:p w14:paraId="2460D9AF" w14:textId="77777777" w:rsidR="005104C7" w:rsidRPr="005104C7" w:rsidRDefault="005104C7" w:rsidP="005104C7">
      <w:pPr>
        <w:numPr>
          <w:ilvl w:val="2"/>
          <w:numId w:val="3"/>
        </w:num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מחלת ילד עד גיל 14;</w:t>
      </w:r>
    </w:p>
    <w:p w14:paraId="328BDC6D" w14:textId="77777777" w:rsidR="005104C7" w:rsidRPr="005104C7" w:rsidRDefault="005104C7" w:rsidP="005104C7">
      <w:pPr>
        <w:numPr>
          <w:ilvl w:val="2"/>
          <w:numId w:val="3"/>
        </w:num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lastRenderedPageBreak/>
        <w:t>טיפול או השגחה בלעדי בקרוב שהוא אדם עם מוגבלות כהגדרתו בחוק שוויון זכויות לאנשים עם מוגבלות, התשנ"ח-1998;</w:t>
      </w:r>
    </w:p>
    <w:p w14:paraId="3A9410DF" w14:textId="77777777" w:rsidR="005104C7" w:rsidRPr="005104C7" w:rsidRDefault="005104C7" w:rsidP="005104C7">
      <w:pPr>
        <w:numPr>
          <w:ilvl w:val="2"/>
          <w:numId w:val="3"/>
        </w:num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מחלת ילד עד גיל 18 שחולה במחלה ממארת או מטופל בדיאליזה;</w:t>
      </w:r>
    </w:p>
    <w:p w14:paraId="5D581B98" w14:textId="77777777" w:rsidR="005104C7" w:rsidRPr="005104C7" w:rsidRDefault="005104C7" w:rsidP="005104C7">
      <w:pPr>
        <w:numPr>
          <w:ilvl w:val="2"/>
          <w:numId w:val="3"/>
        </w:num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טיפול בהורה חולה כהגדרתו בחוק דמי מחלה (היעדרות בשל מחלת הורה), התשנ"ד-1993.</w:t>
      </w:r>
    </w:p>
    <w:p w14:paraId="1827753B" w14:textId="77777777" w:rsidR="005104C7" w:rsidRPr="005104C7" w:rsidRDefault="005104C7" w:rsidP="005104C7">
      <w:pPr>
        <w:numPr>
          <w:ilvl w:val="2"/>
          <w:numId w:val="3"/>
        </w:num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הארכת תקופת הלידה וההורות של בן הזוג;</w:t>
      </w:r>
    </w:p>
    <w:p w14:paraId="3CC91833" w14:textId="77777777" w:rsidR="005104C7" w:rsidRPr="005104C7" w:rsidRDefault="005104C7" w:rsidP="005104C7">
      <w:pPr>
        <w:numPr>
          <w:ilvl w:val="2"/>
          <w:numId w:val="3"/>
        </w:num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השגחה וטיפול בילד;</w:t>
      </w:r>
    </w:p>
    <w:p w14:paraId="09B2261C" w14:textId="77777777" w:rsidR="005104C7" w:rsidRPr="005104C7" w:rsidRDefault="005104C7" w:rsidP="005104C7">
      <w:pPr>
        <w:numPr>
          <w:ilvl w:val="2"/>
          <w:numId w:val="3"/>
        </w:num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היעדרות הנדרשת עקב היציאה לשירות המילואים הפעיל של בן הזוג, לצורך סידורים הכרחיים לניהול ותחזוקת משק הבית, שניתן לבצעם רק בשעות העבודה;</w:t>
      </w:r>
    </w:p>
    <w:p w14:paraId="126CC1E3" w14:textId="77777777" w:rsidR="005104C7" w:rsidRPr="005104C7" w:rsidRDefault="005104C7" w:rsidP="005104C7">
      <w:pPr>
        <w:numPr>
          <w:ilvl w:val="2"/>
          <w:numId w:val="3"/>
        </w:num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  <w:rtl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היעדרויות אחרות – בתיאום עם המעסיק.</w:t>
      </w:r>
    </w:p>
    <w:p w14:paraId="7156E067" w14:textId="77777777" w:rsidR="005104C7" w:rsidRPr="005104C7" w:rsidRDefault="005104C7" w:rsidP="005104C7">
      <w:pPr>
        <w:pStyle w:val="a3"/>
        <w:bidi/>
        <w:spacing w:after="0" w:line="360" w:lineRule="auto"/>
        <w:jc w:val="both"/>
        <w:rPr>
          <w:rFonts w:ascii="David" w:hAnsi="David" w:cs="David"/>
          <w:sz w:val="28"/>
          <w:szCs w:val="28"/>
        </w:rPr>
      </w:pPr>
    </w:p>
    <w:p w14:paraId="2CEBBF70" w14:textId="77777777" w:rsidR="005104C7" w:rsidRPr="005104C7" w:rsidRDefault="005104C7" w:rsidP="005104C7">
      <w:pPr>
        <w:numPr>
          <w:ilvl w:val="1"/>
          <w:numId w:val="2"/>
        </w:numPr>
        <w:bidi/>
        <w:spacing w:after="120" w:line="360" w:lineRule="auto"/>
        <w:ind w:left="936" w:hanging="567"/>
        <w:jc w:val="both"/>
        <w:rPr>
          <w:rFonts w:ascii="David" w:eastAsia="FrankRuehl" w:hAnsi="David" w:cs="David"/>
          <w:sz w:val="28"/>
          <w:szCs w:val="28"/>
          <w:u w:val="single"/>
          <w:rtl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 xml:space="preserve">בן זוג של משרת מילואים שלו מספר ימי חופשה בשכר במהלך שנה </w:t>
      </w:r>
      <w:proofErr w:type="spellStart"/>
      <w:r w:rsidRPr="005104C7">
        <w:rPr>
          <w:rFonts w:ascii="David" w:eastAsia="FrankRuehl" w:hAnsi="David" w:cs="David"/>
          <w:sz w:val="28"/>
          <w:szCs w:val="28"/>
          <w:rtl/>
        </w:rPr>
        <w:t>קלנדרית</w:t>
      </w:r>
      <w:proofErr w:type="spellEnd"/>
      <w:r w:rsidRPr="005104C7">
        <w:rPr>
          <w:rFonts w:ascii="David" w:eastAsia="FrankRuehl" w:hAnsi="David" w:cs="David"/>
          <w:sz w:val="28"/>
          <w:szCs w:val="28"/>
          <w:rtl/>
        </w:rPr>
        <w:t xml:space="preserve"> העולה על 35 ימים (למעט חופשת מחלה), מכסת ימי ההיעדרות בתשלום תהיה מחצית מימי ההיעדרות המצוינים בטבלה לעיל, וינוצלו רק בגין ימי מחלה.</w:t>
      </w:r>
    </w:p>
    <w:p w14:paraId="6B1BF471" w14:textId="77777777" w:rsidR="005104C7" w:rsidRPr="005104C7" w:rsidRDefault="005104C7" w:rsidP="005104C7">
      <w:pPr>
        <w:numPr>
          <w:ilvl w:val="0"/>
          <w:numId w:val="2"/>
        </w:num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  <w:u w:val="single"/>
        </w:rPr>
      </w:pPr>
      <w:r w:rsidRPr="005104C7">
        <w:rPr>
          <w:rFonts w:ascii="David" w:eastAsia="FrankRuehl" w:hAnsi="David" w:cs="David"/>
          <w:sz w:val="28"/>
          <w:szCs w:val="28"/>
          <w:u w:val="single"/>
          <w:rtl/>
        </w:rPr>
        <w:t>צבירת חופשה שנתית</w:t>
      </w:r>
    </w:p>
    <w:p w14:paraId="2A7D7B34" w14:textId="77777777" w:rsidR="005104C7" w:rsidRPr="005104C7" w:rsidRDefault="005104C7" w:rsidP="005104C7">
      <w:pPr>
        <w:pStyle w:val="a3"/>
        <w:numPr>
          <w:ilvl w:val="1"/>
          <w:numId w:val="2"/>
        </w:numPr>
        <w:bidi/>
        <w:spacing w:after="120" w:line="360" w:lineRule="auto"/>
        <w:ind w:left="936" w:hanging="576"/>
        <w:contextualSpacing w:val="0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ניתן יהיה לגרור ימי חופשה משנת 2023 לשנת 2024, גם מעבר לתקרת הצבירה, בהתאם לאחת מהעילות הבאות:</w:t>
      </w:r>
    </w:p>
    <w:p w14:paraId="2AEC3FF3" w14:textId="77777777" w:rsidR="005104C7" w:rsidRPr="005104C7" w:rsidRDefault="005104C7" w:rsidP="005104C7">
      <w:pPr>
        <w:numPr>
          <w:ilvl w:val="2"/>
          <w:numId w:val="2"/>
        </w:numPr>
        <w:bidi/>
        <w:spacing w:after="120" w:line="360" w:lineRule="auto"/>
        <w:ind w:left="1644" w:hanging="708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המעסיק לא נתן חופשה לעובדו;</w:t>
      </w:r>
    </w:p>
    <w:p w14:paraId="445E20BF" w14:textId="77777777" w:rsidR="005104C7" w:rsidRPr="005104C7" w:rsidRDefault="005104C7" w:rsidP="005104C7">
      <w:pPr>
        <w:numPr>
          <w:ilvl w:val="2"/>
          <w:numId w:val="2"/>
        </w:numPr>
        <w:bidi/>
        <w:spacing w:after="120" w:line="360" w:lineRule="auto"/>
        <w:ind w:left="1644" w:hanging="708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 xml:space="preserve">העובד נעדר בשל שירות מילואים לפי חוק שירות המילואים, </w:t>
      </w:r>
      <w:proofErr w:type="spellStart"/>
      <w:r w:rsidRPr="005104C7">
        <w:rPr>
          <w:rFonts w:ascii="David" w:eastAsia="FrankRuehl" w:hAnsi="David" w:cs="David"/>
          <w:sz w:val="28"/>
          <w:szCs w:val="28"/>
          <w:rtl/>
        </w:rPr>
        <w:t>התשס"ח</w:t>
      </w:r>
      <w:proofErr w:type="spellEnd"/>
      <w:r w:rsidRPr="005104C7">
        <w:rPr>
          <w:rFonts w:ascii="David" w:eastAsia="FrankRuehl" w:hAnsi="David" w:cs="David"/>
          <w:sz w:val="28"/>
          <w:szCs w:val="28"/>
          <w:rtl/>
        </w:rPr>
        <w:t>- 2008  לפחות חמישה ימים רצופים;</w:t>
      </w:r>
    </w:p>
    <w:p w14:paraId="6A1B2690" w14:textId="77777777" w:rsidR="005104C7" w:rsidRPr="005104C7" w:rsidRDefault="005104C7" w:rsidP="005104C7">
      <w:pPr>
        <w:numPr>
          <w:ilvl w:val="2"/>
          <w:numId w:val="2"/>
        </w:numPr>
        <w:bidi/>
        <w:spacing w:after="120" w:line="360" w:lineRule="auto"/>
        <w:ind w:left="1644" w:hanging="708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העובד נעדר מעבודתו או לא ביצע אותה בשל הנסיבות המפורטות בסעיף 2 לחוק הגנה על עובדים בשעת חירום;</w:t>
      </w:r>
    </w:p>
    <w:p w14:paraId="2EA340B9" w14:textId="77777777" w:rsidR="005104C7" w:rsidRPr="005104C7" w:rsidRDefault="005104C7" w:rsidP="005104C7">
      <w:pPr>
        <w:numPr>
          <w:ilvl w:val="2"/>
          <w:numId w:val="2"/>
        </w:numPr>
        <w:bidi/>
        <w:spacing w:after="120" w:line="360" w:lineRule="auto"/>
        <w:ind w:left="1644" w:hanging="708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t>העובד נקרא לשירות עבודה או שהועסק במקום עבודה שניתן לו אישור למפעל חיוני או מפעל לשירותים קיומיים בהתאם לחוק שירות עבודה בשעת- חירום, התשכ"ז-1967;</w:t>
      </w:r>
    </w:p>
    <w:p w14:paraId="47F6CDF3" w14:textId="77777777" w:rsidR="005104C7" w:rsidRPr="005104C7" w:rsidRDefault="005104C7" w:rsidP="005104C7">
      <w:pPr>
        <w:numPr>
          <w:ilvl w:val="2"/>
          <w:numId w:val="2"/>
        </w:numPr>
        <w:bidi/>
        <w:spacing w:after="120" w:line="360" w:lineRule="auto"/>
        <w:ind w:left="1644" w:hanging="708"/>
        <w:jc w:val="both"/>
        <w:rPr>
          <w:rFonts w:ascii="David" w:eastAsia="FrankRuehl" w:hAnsi="David" w:cs="David"/>
          <w:sz w:val="28"/>
          <w:szCs w:val="28"/>
        </w:rPr>
      </w:pPr>
      <w:r w:rsidRPr="005104C7">
        <w:rPr>
          <w:rFonts w:ascii="David" w:eastAsia="FrankRuehl" w:hAnsi="David" w:cs="David"/>
          <w:sz w:val="28"/>
          <w:szCs w:val="28"/>
          <w:rtl/>
        </w:rPr>
        <w:lastRenderedPageBreak/>
        <w:t>המעסיק העסיק עובד לפי היתר העסקה בהתאם לסעיף 11 לחוק שעות עבודה ומנוחה, התשי"א-1951 או היתר לפי סעיף 25(ב) ו-26(ב) לחוק עבודת הנוער, התשי"ג-1953, שניתנו או תוקנו  בשל מצב החירום;</w:t>
      </w:r>
    </w:p>
    <w:p w14:paraId="6247CDD3" w14:textId="77777777" w:rsidR="005104C7" w:rsidRPr="005104C7" w:rsidRDefault="005104C7" w:rsidP="005104C7">
      <w:pPr>
        <w:bidi/>
        <w:spacing w:after="120" w:line="360" w:lineRule="auto"/>
        <w:jc w:val="both"/>
        <w:rPr>
          <w:rFonts w:ascii="David" w:eastAsia="FrankRuehl" w:hAnsi="David" w:cs="David"/>
          <w:sz w:val="28"/>
          <w:szCs w:val="28"/>
          <w:u w:val="single"/>
        </w:rPr>
      </w:pPr>
    </w:p>
    <w:p w14:paraId="77AFFCBA" w14:textId="77777777" w:rsidR="005104C7" w:rsidRPr="005104C7" w:rsidRDefault="005104C7" w:rsidP="005104C7">
      <w:pPr>
        <w:bidi/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22BBBFA" w14:textId="77777777" w:rsidR="006523EA" w:rsidRPr="005104C7" w:rsidRDefault="006523EA">
      <w:pPr>
        <w:rPr>
          <w:rFonts w:ascii="David" w:hAnsi="David" w:cs="David"/>
        </w:rPr>
      </w:pPr>
    </w:p>
    <w:sectPr w:rsidR="006523EA" w:rsidRPr="005104C7" w:rsidSect="000C26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3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893C08"/>
    <w:multiLevelType w:val="hybridMultilevel"/>
    <w:tmpl w:val="6D945D64"/>
    <w:lvl w:ilvl="0" w:tplc="C2605DE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E7033"/>
    <w:multiLevelType w:val="hybridMultilevel"/>
    <w:tmpl w:val="FAF2C620"/>
    <w:lvl w:ilvl="0" w:tplc="C2605DE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45350">
    <w:abstractNumId w:val="2"/>
  </w:num>
  <w:num w:numId="2" w16cid:durableId="47727135">
    <w:abstractNumId w:val="0"/>
  </w:num>
  <w:num w:numId="3" w16cid:durableId="184832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C7"/>
    <w:rsid w:val="000C26E9"/>
    <w:rsid w:val="005104C7"/>
    <w:rsid w:val="00572A03"/>
    <w:rsid w:val="006523EA"/>
    <w:rsid w:val="00D6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30D21"/>
  <w15:chartTrackingRefBased/>
  <w15:docId w15:val="{CDB106A6-7122-41BF-B960-33C85AF7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4C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4C7"/>
    <w:pPr>
      <w:ind w:left="720"/>
      <w:contextualSpacing/>
    </w:pPr>
  </w:style>
  <w:style w:type="table" w:styleId="a4">
    <w:name w:val="Table Grid"/>
    <w:basedOn w:val="a1"/>
    <w:uiPriority w:val="39"/>
    <w:rsid w:val="005104C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ניר שטיינברג</dc:creator>
  <cp:keywords/>
  <dc:description/>
  <cp:lastModifiedBy>ניר שטיינברג</cp:lastModifiedBy>
  <cp:revision>2</cp:revision>
  <dcterms:created xsi:type="dcterms:W3CDTF">2024-01-18T12:24:00Z</dcterms:created>
  <dcterms:modified xsi:type="dcterms:W3CDTF">2024-01-18T12:34:00Z</dcterms:modified>
</cp:coreProperties>
</file>